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F5" w:rsidRPr="00E81633" w:rsidRDefault="00E81633" w:rsidP="00E81633">
      <w:pPr>
        <w:jc w:val="center"/>
        <w:rPr>
          <w:b/>
          <w:sz w:val="24"/>
          <w:szCs w:val="24"/>
        </w:rPr>
      </w:pPr>
      <w:r w:rsidRPr="00E81633">
        <w:rPr>
          <w:b/>
          <w:sz w:val="24"/>
          <w:szCs w:val="24"/>
        </w:rPr>
        <w:t>CHIARIMENTI</w:t>
      </w:r>
    </w:p>
    <w:p w:rsidR="00E81633" w:rsidRDefault="00E81633" w:rsidP="00E538E5">
      <w:pPr>
        <w:jc w:val="both"/>
      </w:pPr>
      <w:r>
        <w:t xml:space="preserve">In data 03/07/2018, </w:t>
      </w:r>
      <w:r w:rsidR="00E538E5">
        <w:t>viene posta</w:t>
      </w:r>
      <w:r>
        <w:t xml:space="preserve"> all’attenzione del RUP la seguente questione:</w:t>
      </w:r>
    </w:p>
    <w:p w:rsidR="00E81633" w:rsidRPr="00E538E5" w:rsidRDefault="00E81633" w:rsidP="00E538E5">
      <w:pPr>
        <w:jc w:val="both"/>
        <w:rPr>
          <w:color w:val="00B0F0"/>
        </w:rPr>
      </w:pPr>
      <w:r w:rsidRPr="00E538E5">
        <w:rPr>
          <w:color w:val="00B0F0"/>
        </w:rPr>
        <w:t>A pagina n. 8 della lettera d’invito, viene specificato, alla riga n. 4 dell’art</w:t>
      </w:r>
      <w:r w:rsidR="00D16B72">
        <w:rPr>
          <w:color w:val="00B0F0"/>
        </w:rPr>
        <w:t>. 14</w:t>
      </w:r>
      <w:r w:rsidRPr="00E538E5">
        <w:rPr>
          <w:color w:val="00B0F0"/>
        </w:rPr>
        <w:t xml:space="preserve">, che il termine perentorio per la presentazione delle offerte è il 24 luglio 2018 alle ore 12:00……………. Alla stessa pagina, alla riga n. 25 </w:t>
      </w:r>
      <w:r w:rsidR="00D16B72">
        <w:rPr>
          <w:color w:val="00B0F0"/>
        </w:rPr>
        <w:t>dello stesso articolo</w:t>
      </w:r>
      <w:r w:rsidRPr="00E538E5">
        <w:rPr>
          <w:color w:val="00B0F0"/>
        </w:rPr>
        <w:t>, è scritto nella dicitura da apporre sul plico dell’offerta “</w:t>
      </w:r>
      <w:r w:rsidR="00D16B72">
        <w:rPr>
          <w:color w:val="00B0F0"/>
        </w:rPr>
        <w:t>…………….</w:t>
      </w:r>
      <w:r w:rsidRPr="00E538E5">
        <w:rPr>
          <w:i/>
          <w:color w:val="00B0F0"/>
        </w:rPr>
        <w:t>Scadenza 23 luglio 2018……</w:t>
      </w:r>
      <w:r w:rsidRPr="00E538E5">
        <w:rPr>
          <w:color w:val="00B0F0"/>
        </w:rPr>
        <w:t>”.</w:t>
      </w:r>
    </w:p>
    <w:p w:rsidR="00E81633" w:rsidRDefault="00E81633" w:rsidP="00E538E5">
      <w:pPr>
        <w:jc w:val="both"/>
      </w:pPr>
      <w:r>
        <w:t xml:space="preserve">In riscontro alla questione posta, il RUP, letta la lettera d’invito, comunica che in modo inequivocabile la scadenza per la presentazione delle offerte è fissata al 24 luglio 2018, alle ore 12:00. Che la dicitura indicata </w:t>
      </w:r>
      <w:r w:rsidR="00EC61F3">
        <w:t>è affetta da un mero errore materiale, e che i soggetti invitati che non dovessero capacitarsi dell’errore materiale imputabile all’Amministrazione, verranno comunque ammessi, atteso che fa fede la data e l’ora del protocollo di arrivo dell’offerta.</w:t>
      </w:r>
    </w:p>
    <w:p w:rsidR="00826E13" w:rsidRDefault="00826E13" w:rsidP="00826E13">
      <w:pPr>
        <w:jc w:val="both"/>
      </w:pPr>
      <w:r>
        <w:t>In data 09/07/2018, viene posta all’attenzione del RUP la seguente questione:</w:t>
      </w:r>
    </w:p>
    <w:p w:rsidR="00E81633" w:rsidRPr="00826E13" w:rsidRDefault="00826E13" w:rsidP="00826E13">
      <w:pPr>
        <w:jc w:val="both"/>
        <w:rPr>
          <w:color w:val="00B0F0"/>
        </w:rPr>
      </w:pPr>
      <w:r w:rsidRPr="00826E13">
        <w:rPr>
          <w:color w:val="00B0F0"/>
        </w:rPr>
        <w:t>Si richiede come sia necessario strutturare l' offerta tecnica richiesta per</w:t>
      </w:r>
      <w:r>
        <w:rPr>
          <w:color w:val="00B0F0"/>
        </w:rPr>
        <w:t xml:space="preserve"> </w:t>
      </w:r>
      <w:r w:rsidRPr="00826E13">
        <w:rPr>
          <w:color w:val="00B0F0"/>
        </w:rPr>
        <w:t>la partecipazione, se sia previsto un limito massimo di pagine, righe,</w:t>
      </w:r>
      <w:r>
        <w:rPr>
          <w:color w:val="00B0F0"/>
        </w:rPr>
        <w:t xml:space="preserve"> </w:t>
      </w:r>
      <w:r w:rsidRPr="00826E13">
        <w:rPr>
          <w:color w:val="00B0F0"/>
        </w:rPr>
        <w:t>cartelle ecc.</w:t>
      </w:r>
    </w:p>
    <w:p w:rsidR="00E81633" w:rsidRDefault="00826E13" w:rsidP="00826E13">
      <w:pPr>
        <w:jc w:val="both"/>
      </w:pPr>
      <w:r>
        <w:t xml:space="preserve">In riscontro alla questione posta, il RUP, letta la lettera d’invito, comunica che non sono state date </w:t>
      </w:r>
      <w:r w:rsidRPr="00826E13">
        <w:t>indicazioni al riguardo, per</w:t>
      </w:r>
      <w:r>
        <w:t xml:space="preserve"> </w:t>
      </w:r>
      <w:r w:rsidRPr="00826E13">
        <w:t>cui è demandata all'invitata la predisposizione degli atti secondo una logica di</w:t>
      </w:r>
      <w:r>
        <w:t xml:space="preserve"> </w:t>
      </w:r>
      <w:r w:rsidRPr="00826E13">
        <w:t>ragionevolezza e buon senso.</w:t>
      </w:r>
    </w:p>
    <w:p w:rsidR="00E81633" w:rsidRDefault="00A242DE">
      <w:r>
        <w:t>Nelle date del 16 e del 17/07/2018 sono stati posti all’attenzione del RUP i seguenti quesiti: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</w:t>
      </w:r>
      <w:r w:rsidRPr="00A242DE">
        <w:rPr>
          <w:rFonts w:asciiTheme="majorHAnsi" w:hAnsiTheme="majorHAnsi" w:cs="Arial"/>
          <w:i/>
          <w:color w:val="00B0F0"/>
          <w:spacing w:val="-2"/>
          <w:sz w:val="22"/>
          <w:szCs w:val="22"/>
        </w:rPr>
        <w:t>to</w:t>
      </w:r>
      <w:r w:rsidRPr="00A242DE">
        <w:rPr>
          <w:rFonts w:asciiTheme="majorHAnsi" w:hAnsiTheme="majorHAnsi" w:cs="Arial"/>
          <w:i/>
          <w:color w:val="00B0F0"/>
          <w:spacing w:val="31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 xml:space="preserve">1 </w:t>
      </w:r>
      <w:r w:rsidRPr="00A242DE">
        <w:rPr>
          <w:rFonts w:asciiTheme="majorHAnsi" w:hAnsiTheme="majorHAnsi" w:cs="Arial"/>
          <w:i/>
          <w:color w:val="00B0F0"/>
          <w:w w:val="110"/>
          <w:sz w:val="22"/>
          <w:szCs w:val="22"/>
        </w:rPr>
        <w:t>:</w:t>
      </w:r>
      <w:r w:rsidRPr="00A242DE">
        <w:rPr>
          <w:rFonts w:asciiTheme="majorHAnsi" w:hAnsiTheme="majorHAnsi" w:cs="Arial"/>
          <w:i/>
          <w:color w:val="00B0F0"/>
          <w:spacing w:val="-11"/>
          <w:w w:val="110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Si</w:t>
      </w:r>
      <w:r w:rsidRPr="00A242DE">
        <w:rPr>
          <w:rFonts w:asciiTheme="majorHAnsi" w:hAnsiTheme="majorHAnsi" w:cs="Arial"/>
          <w:i/>
          <w:color w:val="00B0F0"/>
          <w:spacing w:val="15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4"/>
          <w:sz w:val="22"/>
          <w:szCs w:val="22"/>
        </w:rPr>
        <w:t>richi</w:t>
      </w:r>
      <w:r w:rsidRPr="00A242DE">
        <w:rPr>
          <w:rFonts w:asciiTheme="majorHAnsi" w:hAnsiTheme="majorHAnsi" w:cs="Arial"/>
          <w:i/>
          <w:color w:val="00B0F0"/>
          <w:spacing w:val="-5"/>
          <w:sz w:val="22"/>
          <w:szCs w:val="22"/>
        </w:rPr>
        <w:t>ede</w:t>
      </w:r>
      <w:r w:rsidRPr="00A242DE">
        <w:rPr>
          <w:rFonts w:asciiTheme="majorHAnsi" w:hAnsiTheme="majorHAnsi" w:cs="Arial"/>
          <w:i/>
          <w:color w:val="00B0F0"/>
          <w:spacing w:val="2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se,</w:t>
      </w:r>
      <w:r w:rsidRPr="00A242DE">
        <w:rPr>
          <w:rFonts w:asciiTheme="majorHAnsi" w:hAnsiTheme="majorHAnsi" w:cs="Arial"/>
          <w:i/>
          <w:color w:val="00B0F0"/>
          <w:spacing w:val="2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all'i</w:t>
      </w:r>
      <w:r w:rsidRPr="00A242DE">
        <w:rPr>
          <w:rFonts w:asciiTheme="majorHAnsi" w:hAnsiTheme="majorHAnsi" w:cs="Arial"/>
          <w:i/>
          <w:color w:val="00B0F0"/>
          <w:spacing w:val="-4"/>
          <w:sz w:val="22"/>
          <w:szCs w:val="22"/>
        </w:rPr>
        <w:t>nterno</w:t>
      </w:r>
      <w:r w:rsidRPr="00A242DE">
        <w:rPr>
          <w:rFonts w:asciiTheme="majorHAnsi" w:hAnsiTheme="majorHAnsi" w:cs="Arial"/>
          <w:i/>
          <w:color w:val="00B0F0"/>
          <w:spacing w:val="19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della</w:t>
      </w:r>
      <w:r w:rsidRPr="00A242DE">
        <w:rPr>
          <w:rFonts w:asciiTheme="majorHAnsi" w:hAnsiTheme="majorHAnsi" w:cs="Arial"/>
          <w:i/>
          <w:color w:val="00B0F0"/>
          <w:spacing w:val="28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Busta</w:t>
      </w:r>
      <w:r w:rsidRPr="00A242DE">
        <w:rPr>
          <w:rFonts w:asciiTheme="majorHAnsi" w:hAnsiTheme="majorHAnsi" w:cs="Arial"/>
          <w:i/>
          <w:color w:val="00B0F0"/>
          <w:spacing w:val="21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</w:t>
      </w:r>
      <w:r w:rsidRPr="00A242DE">
        <w:rPr>
          <w:rFonts w:asciiTheme="majorHAnsi" w:hAnsiTheme="majorHAnsi" w:cs="Arial"/>
          <w:i/>
          <w:color w:val="00B0F0"/>
          <w:spacing w:val="1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-</w:t>
      </w:r>
      <w:r w:rsidRPr="00A242DE">
        <w:rPr>
          <w:rFonts w:asciiTheme="majorHAnsi" w:hAnsiTheme="majorHAnsi" w:cs="Arial"/>
          <w:i/>
          <w:color w:val="00B0F0"/>
          <w:spacing w:val="1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Offerta</w:t>
      </w:r>
      <w:r w:rsidRPr="00A242DE">
        <w:rPr>
          <w:rFonts w:asciiTheme="majorHAnsi" w:hAnsiTheme="majorHAnsi" w:cs="Arial"/>
          <w:i/>
          <w:color w:val="00B0F0"/>
          <w:spacing w:val="35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2"/>
          <w:sz w:val="22"/>
          <w:szCs w:val="22"/>
        </w:rPr>
        <w:t>Economi</w:t>
      </w:r>
      <w:r w:rsidRPr="00A242DE">
        <w:rPr>
          <w:rFonts w:asciiTheme="majorHAnsi" w:hAnsiTheme="majorHAnsi" w:cs="Arial"/>
          <w:i/>
          <w:color w:val="00B0F0"/>
          <w:spacing w:val="-1"/>
          <w:sz w:val="22"/>
          <w:szCs w:val="22"/>
        </w:rPr>
        <w:t>ca,</w:t>
      </w:r>
      <w:r w:rsidRPr="00A242DE">
        <w:rPr>
          <w:rFonts w:asciiTheme="majorHAnsi" w:hAnsiTheme="majorHAnsi" w:cs="Arial"/>
          <w:i/>
          <w:color w:val="00B0F0"/>
          <w:spacing w:val="20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deve</w:t>
      </w:r>
      <w:r w:rsidRPr="00A242DE">
        <w:rPr>
          <w:rFonts w:asciiTheme="majorHAnsi" w:hAnsiTheme="majorHAnsi" w:cs="Arial"/>
          <w:i/>
          <w:color w:val="00B0F0"/>
          <w:spacing w:val="21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essere</w:t>
      </w:r>
      <w:r w:rsidRPr="00A242DE">
        <w:rPr>
          <w:rFonts w:asciiTheme="majorHAnsi" w:hAnsiTheme="majorHAnsi" w:cs="Arial"/>
          <w:i/>
          <w:color w:val="00B0F0"/>
          <w:spacing w:val="2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presentato,</w:t>
      </w:r>
      <w:r w:rsidRPr="00A242DE">
        <w:rPr>
          <w:rFonts w:asciiTheme="majorHAnsi" w:hAnsiTheme="majorHAnsi" w:cs="Arial"/>
          <w:i/>
          <w:color w:val="00B0F0"/>
          <w:spacing w:val="3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2"/>
          <w:sz w:val="22"/>
          <w:szCs w:val="22"/>
        </w:rPr>
        <w:t>oltre</w:t>
      </w:r>
      <w:r w:rsidRPr="00A242DE">
        <w:rPr>
          <w:rFonts w:asciiTheme="majorHAnsi" w:hAnsiTheme="majorHAnsi" w:cs="Arial"/>
          <w:i/>
          <w:color w:val="00B0F0"/>
          <w:spacing w:val="43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l'Allegato</w:t>
      </w:r>
      <w:r w:rsidRPr="00A242DE">
        <w:rPr>
          <w:rFonts w:asciiTheme="majorHAnsi" w:hAnsiTheme="majorHAnsi" w:cs="Arial"/>
          <w:i/>
          <w:color w:val="00B0F0"/>
          <w:spacing w:val="2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C,</w:t>
      </w:r>
      <w:r w:rsidRPr="00A242DE">
        <w:rPr>
          <w:rFonts w:asciiTheme="majorHAnsi" w:hAnsiTheme="majorHAnsi" w:cs="Arial"/>
          <w:i/>
          <w:color w:val="00B0F0"/>
          <w:spacing w:val="11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deb</w:t>
      </w:r>
      <w:r w:rsidRPr="00A242DE">
        <w:rPr>
          <w:rFonts w:asciiTheme="majorHAnsi" w:hAnsiTheme="majorHAnsi" w:cs="Arial"/>
          <w:i/>
          <w:color w:val="00B0F0"/>
          <w:spacing w:val="-8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tamente</w:t>
      </w:r>
      <w:r w:rsidRPr="00A242DE">
        <w:rPr>
          <w:rFonts w:asciiTheme="majorHAnsi" w:hAnsiTheme="majorHAnsi" w:cs="Arial"/>
          <w:i/>
          <w:color w:val="00B0F0"/>
          <w:spacing w:val="29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compi</w:t>
      </w:r>
      <w:r w:rsidRPr="00A242DE">
        <w:rPr>
          <w:rFonts w:asciiTheme="majorHAnsi" w:hAnsiTheme="majorHAnsi" w:cs="Arial"/>
          <w:i/>
          <w:color w:val="00B0F0"/>
          <w:spacing w:val="-22"/>
          <w:sz w:val="22"/>
          <w:szCs w:val="22"/>
        </w:rPr>
        <w:t>l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ato,</w:t>
      </w:r>
      <w:r w:rsidRPr="00A242DE">
        <w:rPr>
          <w:rFonts w:asciiTheme="majorHAnsi" w:hAnsiTheme="majorHAnsi" w:cs="Arial"/>
          <w:i/>
          <w:color w:val="00B0F0"/>
          <w:spacing w:val="17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anche</w:t>
      </w:r>
      <w:r w:rsidRPr="00A242DE">
        <w:rPr>
          <w:rFonts w:asciiTheme="majorHAnsi" w:hAnsiTheme="majorHAnsi" w:cs="Arial"/>
          <w:i/>
          <w:color w:val="00B0F0"/>
          <w:spacing w:val="2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Computo</w:t>
      </w:r>
      <w:r w:rsidRPr="00A242DE">
        <w:rPr>
          <w:rFonts w:asciiTheme="majorHAnsi" w:hAnsiTheme="majorHAnsi" w:cs="Arial"/>
          <w:i/>
          <w:color w:val="00B0F0"/>
          <w:spacing w:val="27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Metr</w:t>
      </w:r>
      <w:r w:rsidRPr="00A242DE">
        <w:rPr>
          <w:rFonts w:asciiTheme="majorHAnsi" w:hAnsiTheme="majorHAnsi" w:cs="Arial"/>
          <w:i/>
          <w:color w:val="00B0F0"/>
          <w:spacing w:val="-17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co</w:t>
      </w:r>
      <w:r w:rsidRPr="00A242DE">
        <w:rPr>
          <w:rFonts w:asciiTheme="majorHAnsi" w:hAnsiTheme="majorHAnsi" w:cs="Arial"/>
          <w:i/>
          <w:color w:val="00B0F0"/>
          <w:spacing w:val="2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Est</w:t>
      </w:r>
      <w:r w:rsidRPr="00A242DE">
        <w:rPr>
          <w:rFonts w:asciiTheme="majorHAnsi" w:hAnsiTheme="majorHAnsi" w:cs="Arial"/>
          <w:i/>
          <w:color w:val="00B0F0"/>
          <w:spacing w:val="-9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mat</w:t>
      </w:r>
      <w:r w:rsidRPr="00A242DE">
        <w:rPr>
          <w:rFonts w:asciiTheme="majorHAnsi" w:hAnsiTheme="majorHAnsi" w:cs="Arial"/>
          <w:i/>
          <w:color w:val="00B0F0"/>
          <w:spacing w:val="-10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vo</w:t>
      </w:r>
      <w:r w:rsidRPr="00A242DE">
        <w:rPr>
          <w:rFonts w:asciiTheme="majorHAnsi" w:hAnsiTheme="majorHAnsi" w:cs="Arial"/>
          <w:i/>
          <w:color w:val="00B0F0"/>
          <w:spacing w:val="15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s</w:t>
      </w:r>
      <w:r w:rsidRPr="00A242DE">
        <w:rPr>
          <w:rFonts w:asciiTheme="majorHAnsi" w:hAnsiTheme="majorHAnsi" w:cs="Arial"/>
          <w:i/>
          <w:color w:val="00B0F0"/>
          <w:spacing w:val="-10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</w:t>
      </w:r>
      <w:r w:rsidRPr="00A242DE">
        <w:rPr>
          <w:rFonts w:asciiTheme="majorHAnsi" w:hAnsiTheme="majorHAnsi" w:cs="Arial"/>
          <w:i/>
          <w:color w:val="00B0F0"/>
          <w:spacing w:val="1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delle</w:t>
      </w:r>
      <w:r w:rsidRPr="00A242DE">
        <w:rPr>
          <w:rFonts w:asciiTheme="majorHAnsi" w:hAnsiTheme="majorHAnsi" w:cs="Arial"/>
          <w:i/>
          <w:color w:val="00B0F0"/>
          <w:spacing w:val="19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22"/>
          <w:sz w:val="22"/>
          <w:szCs w:val="22"/>
        </w:rPr>
        <w:t>l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avorazioni</w:t>
      </w:r>
      <w:r w:rsidRPr="00A242DE">
        <w:rPr>
          <w:rFonts w:asciiTheme="majorHAnsi" w:hAnsiTheme="majorHAnsi" w:cs="Arial"/>
          <w:i/>
          <w:color w:val="00B0F0"/>
          <w:spacing w:val="23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prev</w:t>
      </w:r>
      <w:r w:rsidRPr="00A242DE">
        <w:rPr>
          <w:rFonts w:asciiTheme="majorHAnsi" w:hAnsiTheme="majorHAnsi" w:cs="Arial"/>
          <w:i/>
          <w:color w:val="00B0F0"/>
          <w:spacing w:val="-10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ste</w:t>
      </w:r>
      <w:r w:rsidRPr="00A242DE">
        <w:rPr>
          <w:rFonts w:asciiTheme="majorHAnsi" w:hAnsiTheme="majorHAnsi" w:cs="Arial"/>
          <w:i/>
          <w:color w:val="00B0F0"/>
          <w:spacing w:val="16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</w:t>
      </w:r>
      <w:r w:rsidRPr="00A242DE">
        <w:rPr>
          <w:rFonts w:asciiTheme="majorHAnsi" w:hAnsiTheme="majorHAnsi" w:cs="Arial"/>
          <w:i/>
          <w:color w:val="00B0F0"/>
          <w:w w:val="105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base</w:t>
      </w:r>
      <w:r w:rsidRPr="00A242DE">
        <w:rPr>
          <w:rFonts w:asciiTheme="majorHAnsi" w:hAnsiTheme="majorHAnsi" w:cs="Arial"/>
          <w:i/>
          <w:color w:val="00B0F0"/>
          <w:spacing w:val="2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di</w:t>
      </w:r>
      <w:r w:rsidRPr="00A242DE">
        <w:rPr>
          <w:rFonts w:asciiTheme="majorHAnsi" w:hAnsiTheme="majorHAnsi" w:cs="Arial"/>
          <w:i/>
          <w:color w:val="00B0F0"/>
          <w:spacing w:val="29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gara,</w:t>
      </w:r>
      <w:r w:rsidRPr="00A242DE">
        <w:rPr>
          <w:rFonts w:asciiTheme="majorHAnsi" w:hAnsiTheme="majorHAnsi" w:cs="Arial"/>
          <w:i/>
          <w:color w:val="00B0F0"/>
          <w:spacing w:val="3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</w:t>
      </w:r>
      <w:r w:rsidRPr="00A242DE">
        <w:rPr>
          <w:rFonts w:asciiTheme="majorHAnsi" w:hAnsiTheme="majorHAnsi" w:cs="Arial"/>
          <w:i/>
          <w:color w:val="00B0F0"/>
          <w:spacing w:val="28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se</w:t>
      </w:r>
      <w:r w:rsidRPr="00A242DE">
        <w:rPr>
          <w:rFonts w:asciiTheme="majorHAnsi" w:hAnsiTheme="majorHAnsi" w:cs="Arial"/>
          <w:i/>
          <w:color w:val="00B0F0"/>
          <w:spacing w:val="37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queste</w:t>
      </w:r>
      <w:r w:rsidRPr="00A242DE">
        <w:rPr>
          <w:rFonts w:asciiTheme="majorHAnsi" w:hAnsiTheme="majorHAnsi" w:cs="Arial"/>
          <w:i/>
          <w:color w:val="00B0F0"/>
          <w:spacing w:val="3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debbano</w:t>
      </w:r>
      <w:r w:rsidRPr="00A242DE">
        <w:rPr>
          <w:rFonts w:asciiTheme="majorHAnsi" w:hAnsiTheme="majorHAnsi" w:cs="Arial"/>
          <w:i/>
          <w:color w:val="00B0F0"/>
          <w:spacing w:val="45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essere</w:t>
      </w:r>
      <w:r w:rsidRPr="00A242DE">
        <w:rPr>
          <w:rFonts w:asciiTheme="majorHAnsi" w:hAnsiTheme="majorHAnsi" w:cs="Arial"/>
          <w:i/>
          <w:color w:val="00B0F0"/>
          <w:spacing w:val="48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18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nd</w:t>
      </w:r>
      <w:r w:rsidRPr="00A242DE">
        <w:rPr>
          <w:rFonts w:asciiTheme="majorHAnsi" w:hAnsiTheme="majorHAnsi" w:cs="Arial"/>
          <w:i/>
          <w:color w:val="00B0F0"/>
          <w:spacing w:val="-18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cate</w:t>
      </w:r>
      <w:r w:rsidRPr="00A242DE">
        <w:rPr>
          <w:rFonts w:asciiTheme="majorHAnsi" w:hAnsiTheme="majorHAnsi" w:cs="Arial"/>
          <w:i/>
          <w:color w:val="00B0F0"/>
          <w:spacing w:val="32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con</w:t>
      </w:r>
      <w:r w:rsidRPr="00A242DE">
        <w:rPr>
          <w:rFonts w:asciiTheme="majorHAnsi" w:hAnsiTheme="majorHAnsi" w:cs="Arial"/>
          <w:i/>
          <w:color w:val="00B0F0"/>
          <w:spacing w:val="25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r</w:t>
      </w:r>
      <w:r w:rsidRPr="00A242DE">
        <w:rPr>
          <w:rFonts w:asciiTheme="majorHAnsi" w:hAnsiTheme="majorHAnsi" w:cs="Arial"/>
          <w:i/>
          <w:color w:val="00B0F0"/>
          <w:spacing w:val="-14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basso</w:t>
      </w:r>
      <w:r w:rsidRPr="00A242DE">
        <w:rPr>
          <w:rFonts w:asciiTheme="majorHAnsi" w:hAnsiTheme="majorHAnsi" w:cs="Arial"/>
          <w:i/>
          <w:color w:val="00B0F0"/>
          <w:spacing w:val="38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p</w:t>
      </w:r>
      <w:r w:rsidRPr="00A242DE">
        <w:rPr>
          <w:rFonts w:asciiTheme="majorHAnsi" w:hAnsiTheme="majorHAnsi" w:cs="Arial"/>
          <w:i/>
          <w:color w:val="00B0F0"/>
          <w:spacing w:val="-19"/>
          <w:sz w:val="22"/>
          <w:szCs w:val="22"/>
        </w:rPr>
        <w:t>e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rcentua</w:t>
      </w: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l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</w:t>
      </w:r>
      <w:r w:rsidRPr="00A242DE">
        <w:rPr>
          <w:rFonts w:asciiTheme="majorHAnsi" w:hAnsiTheme="majorHAnsi" w:cs="Arial"/>
          <w:i/>
          <w:color w:val="00B0F0"/>
          <w:spacing w:val="31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proposto),</w:t>
      </w:r>
      <w:r w:rsidRPr="00A242DE">
        <w:rPr>
          <w:rFonts w:asciiTheme="majorHAnsi" w:hAnsiTheme="majorHAnsi" w:cs="Arial"/>
          <w:i/>
          <w:color w:val="00B0F0"/>
          <w:spacing w:val="41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s</w:t>
      </w:r>
      <w:r w:rsidRPr="00A242DE">
        <w:rPr>
          <w:rFonts w:asciiTheme="majorHAnsi" w:hAnsiTheme="majorHAnsi" w:cs="Arial"/>
          <w:i/>
          <w:color w:val="00B0F0"/>
          <w:spacing w:val="-9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</w:t>
      </w:r>
      <w:r w:rsidRPr="00A242DE">
        <w:rPr>
          <w:rFonts w:asciiTheme="majorHAnsi" w:hAnsiTheme="majorHAnsi" w:cs="Arial"/>
          <w:i/>
          <w:color w:val="00B0F0"/>
          <w:spacing w:val="29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Computo</w:t>
      </w:r>
      <w:r w:rsidRPr="00A242DE">
        <w:rPr>
          <w:rFonts w:asciiTheme="majorHAnsi" w:hAnsiTheme="majorHAnsi" w:cs="Arial"/>
          <w:i/>
          <w:color w:val="00B0F0"/>
          <w:w w:val="96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Metrico</w:t>
      </w:r>
      <w:r w:rsidRPr="00A242DE">
        <w:rPr>
          <w:rFonts w:asciiTheme="majorHAnsi" w:hAnsiTheme="majorHAnsi" w:cs="Arial"/>
          <w:i/>
          <w:color w:val="00B0F0"/>
          <w:spacing w:val="-17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Est</w:t>
      </w:r>
      <w:r w:rsidRPr="00A242DE">
        <w:rPr>
          <w:rFonts w:asciiTheme="majorHAnsi" w:hAnsiTheme="majorHAnsi" w:cs="Arial"/>
          <w:i/>
          <w:color w:val="00B0F0"/>
          <w:spacing w:val="-9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mat</w:t>
      </w:r>
      <w:r w:rsidRPr="00A242DE">
        <w:rPr>
          <w:rFonts w:asciiTheme="majorHAnsi" w:hAnsiTheme="majorHAnsi" w:cs="Arial"/>
          <w:i/>
          <w:color w:val="00B0F0"/>
          <w:spacing w:val="-16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vo</w:t>
      </w:r>
      <w:r w:rsidRPr="00A242DE">
        <w:rPr>
          <w:rFonts w:asciiTheme="majorHAnsi" w:hAnsiTheme="majorHAnsi" w:cs="Arial"/>
          <w:i/>
          <w:color w:val="00B0F0"/>
          <w:spacing w:val="-19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delle</w:t>
      </w:r>
      <w:r w:rsidRPr="00A242DE">
        <w:rPr>
          <w:rFonts w:asciiTheme="majorHAnsi" w:hAnsiTheme="majorHAnsi" w:cs="Arial"/>
          <w:i/>
          <w:color w:val="00B0F0"/>
          <w:spacing w:val="-13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prestazioni</w:t>
      </w:r>
      <w:r w:rsidRPr="00A242DE">
        <w:rPr>
          <w:rFonts w:asciiTheme="majorHAnsi" w:hAnsiTheme="majorHAnsi" w:cs="Arial"/>
          <w:i/>
          <w:color w:val="00B0F0"/>
          <w:spacing w:val="-1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e</w:t>
      </w:r>
      <w:r w:rsidRPr="00A242DE">
        <w:rPr>
          <w:rFonts w:asciiTheme="majorHAnsi" w:hAnsiTheme="majorHAnsi" w:cs="Arial"/>
          <w:i/>
          <w:color w:val="00B0F0"/>
          <w:spacing w:val="-23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delle</w:t>
      </w:r>
      <w:r w:rsidRPr="00A242DE">
        <w:rPr>
          <w:rFonts w:asciiTheme="majorHAnsi" w:hAnsiTheme="majorHAnsi" w:cs="Arial"/>
          <w:i/>
          <w:color w:val="00B0F0"/>
          <w:spacing w:val="-16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pacing w:val="-22"/>
          <w:sz w:val="22"/>
          <w:szCs w:val="22"/>
        </w:rPr>
        <w:t>l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avorazioni</w:t>
      </w:r>
      <w:r w:rsidRPr="00A242DE">
        <w:rPr>
          <w:rFonts w:asciiTheme="majorHAnsi" w:hAnsiTheme="majorHAnsi" w:cs="Arial"/>
          <w:i/>
          <w:color w:val="00B0F0"/>
          <w:spacing w:val="-16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oggetto</w:t>
      </w:r>
      <w:r w:rsidRPr="00A242DE">
        <w:rPr>
          <w:rFonts w:asciiTheme="majorHAnsi" w:hAnsiTheme="majorHAnsi" w:cs="Arial"/>
          <w:i/>
          <w:color w:val="00B0F0"/>
          <w:spacing w:val="-13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della</w:t>
      </w:r>
      <w:r w:rsidRPr="00A242DE">
        <w:rPr>
          <w:rFonts w:asciiTheme="majorHAnsi" w:hAnsiTheme="majorHAnsi" w:cs="Arial"/>
          <w:i/>
          <w:color w:val="00B0F0"/>
          <w:spacing w:val="-13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Offerta</w:t>
      </w:r>
      <w:r w:rsidRPr="00A242DE">
        <w:rPr>
          <w:rFonts w:asciiTheme="majorHAnsi" w:hAnsiTheme="majorHAnsi" w:cs="Arial"/>
          <w:i/>
          <w:color w:val="00B0F0"/>
          <w:spacing w:val="-18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Tecn</w:t>
      </w:r>
      <w:r w:rsidRPr="00A242DE">
        <w:rPr>
          <w:rFonts w:asciiTheme="majorHAnsi" w:hAnsiTheme="majorHAnsi" w:cs="Arial"/>
          <w:i/>
          <w:color w:val="00B0F0"/>
          <w:spacing w:val="1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ca</w:t>
      </w:r>
      <w:r w:rsidRPr="00A242DE">
        <w:rPr>
          <w:rFonts w:asciiTheme="majorHAnsi" w:hAnsiTheme="majorHAnsi" w:cs="Arial"/>
          <w:i/>
          <w:color w:val="00B0F0"/>
          <w:spacing w:val="-24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di</w:t>
      </w:r>
      <w:r w:rsidRPr="00A242DE">
        <w:rPr>
          <w:rFonts w:asciiTheme="majorHAnsi" w:hAnsiTheme="majorHAnsi" w:cs="Arial"/>
          <w:i/>
          <w:color w:val="00B0F0"/>
          <w:spacing w:val="-16"/>
          <w:sz w:val="22"/>
          <w:szCs w:val="22"/>
        </w:rPr>
        <w:t xml:space="preserve"> 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M</w:t>
      </w:r>
      <w:r w:rsidRPr="00A242DE">
        <w:rPr>
          <w:rFonts w:asciiTheme="majorHAnsi" w:hAnsiTheme="majorHAnsi" w:cs="Arial"/>
          <w:i/>
          <w:color w:val="00B0F0"/>
          <w:spacing w:val="-22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glior</w:t>
      </w:r>
      <w:r w:rsidRPr="00A242DE">
        <w:rPr>
          <w:rFonts w:asciiTheme="majorHAnsi" w:hAnsiTheme="majorHAnsi" w:cs="Arial"/>
          <w:i/>
          <w:color w:val="00B0F0"/>
          <w:spacing w:val="-9"/>
          <w:sz w:val="22"/>
          <w:szCs w:val="22"/>
        </w:rPr>
        <w:t>i</w:t>
      </w:r>
      <w:r w:rsidRPr="00A242DE">
        <w:rPr>
          <w:rFonts w:asciiTheme="majorHAnsi" w:hAnsiTheme="majorHAnsi" w:cs="Arial"/>
          <w:i/>
          <w:color w:val="00B0F0"/>
          <w:sz w:val="22"/>
          <w:szCs w:val="22"/>
        </w:rPr>
        <w:t>a.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t xml:space="preserve">Nella busta C non vanno inseriti computi. Poiché trattasi di appalto a corpo, la </w:t>
      </w:r>
      <w:proofErr w:type="spellStart"/>
      <w:r w:rsidRPr="00A242DE">
        <w:rPr>
          <w:rFonts w:asciiTheme="majorHAnsi" w:hAnsiTheme="majorHAnsi"/>
        </w:rPr>
        <w:t>scontistica</w:t>
      </w:r>
      <w:proofErr w:type="spellEnd"/>
      <w:r w:rsidRPr="00A242DE">
        <w:rPr>
          <w:rFonts w:asciiTheme="majorHAnsi" w:hAnsiTheme="majorHAnsi"/>
        </w:rPr>
        <w:t xml:space="preserve"> applicata è da considerarsi sull’importo complessivo. Per la contabilizzazione delle prestazioni e delle lavorazioni oggetto dell’offerta tecnica di miglioria, ai fini della rendicontazione del progetto, si procederà a richiedere alla ditta aggiudicataria della procedura, in fase contrattualizzazione l’elaborato suddetto.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Quesito 2 : Si richiede se, all'interno della Busta B - Offerta Tecnica, deve essere presentato, Computo Metrico delle prestazioni e delle lavorazioni oggetto della Offerta Tecnica di Miglioria (si intende ovviamente senza la indicazione di prezzi unitari e complessivi)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t>Nella busta B non va inserito il computo metrico delle prestazioni o delle lavorazioni oggetto dell’offerta tecnica. La Commissione di esperti valuterà l’interezza della soluzione proposta ed indicata nella relazione descrittiva e negli elaborati grafici eventualmente prodotti.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Quesito 3 : Si richiede se l'Offerta Tecnica debba contenere un numero minimo e/o massimo della Relazione e degli Elaborati Grafici e se questi debbano essere redatti in un formato specifico o si lascia libertà ai concorrenti nella scelta del formato grafico di rappresentazione.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t>Non sono state date indicazioni al riguardo. Il tutto è lasciato alla ragionevolezza delle ditte invitate.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Quesito 4 : Si richiede se l'Offerta Tecnica di Miglioria riferita al Criterio 1 e nello specifico riguardante l'impianto di illuminazione, debba riguardare solo il Piano Terra o anche gli altri Piani oggetto dei lavori.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lastRenderedPageBreak/>
        <w:t>La miglioria di cui al criterio 1 è relativa al piano terra.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Quesito 5 : Si richiede se il Piano Terra oggetto dei lavori di miglioria per l'impianto di illuminazione, è già dotato delle predisposizioni per l'allaccio di nuovi corpi illuminanti e se il controsoffitto risulta ispezionabile ovvero se si presenta con struttura modulare a pannelli o è di tipo liscio continuo con binari a soffitto di ancoraggio per le lastre.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t>Come da risultanze del vostro sopralluogo, il controsoffitto al paino terra è modulare ed ispezionabile. L’impianto di alimentazione elettrica dei corpi illuminanti al piano terra è esistente e conforme alle esigenze degli attuali punti luce. E’ possibile che vi siano necessità in corso d’opera di una diversa distribuzione, funzione della soluzione progettuale che vorrete proporre. La potenza disponibile è idonea a supportare i nuovi punti luce.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Quesito 6 :Si richiede se Nuovi Prezzi n. 06 e n.13 riferite a Pareti Mobili e Divisorie, sono munite di Analisi dei Prezzi a base di Gara e se sono disponibili dettagli tecnici costruttivi delle stesse.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/>
          <w:sz w:val="22"/>
          <w:szCs w:val="22"/>
        </w:rPr>
      </w:pPr>
      <w:r w:rsidRPr="00A242DE">
        <w:rPr>
          <w:rFonts w:asciiTheme="majorHAnsi" w:hAnsiTheme="majorHAnsi"/>
          <w:sz w:val="22"/>
          <w:szCs w:val="22"/>
        </w:rPr>
        <w:t>Le voci Nr. 91, 92, 96, 98, dell’elenco prezzi unitari costituiscono un mero refuso. I nuovi prezzi riferiti alle pareti mobili  e divisorie, sono stati desunti da ricerche di mercato. Ove necessitiate dell’analisi è possibile fornire, su ulteriore richiesta, i riferimenti del caso. Non sono state date ulteriori specifiche tecniche di dettaglio, perché come detto durante il sopralluogo, si vuole lasciare la massima libertà alle imprese concorrenti di indicare i prodotti ritenuti dagli stessi più idonei al conseguimento del massimo punteggio relativo ai criteri indicati. L’unica osservazione è che le pareti vetrate dovranno avere come requisito minimo la conformità alle normative tecniche di riferimento per tale tipologia di prodotto.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/>
          <w:sz w:val="22"/>
          <w:szCs w:val="22"/>
        </w:rPr>
      </w:pP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Quesito 7: Si richiedono informazioni sulla tipologia del pavimento presente al Piano 3° "Corpo a Z" per cui è richiesta la fornitura e posa in opera di n. 44 blocchi porta prese per i tavoli della biblioteca.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t>In riferimento al quesito, si rappresenta che l’alimentazione elettrica dei banchi è prevista con sistemi installati in controsoffitto e con calate. Evidentemente vi è un refuso.</w:t>
      </w:r>
    </w:p>
    <w:p w:rsidR="00A242DE" w:rsidRPr="00A242DE" w:rsidRDefault="00A242DE" w:rsidP="00A242DE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Quesito 8: Con riferimento al Disciplinare di Gara, all'Art. 16 - Busta B - Offerta Tecnica, si richiede se la Relazione Tecnica e gli eventuali elaborati </w:t>
      </w:r>
      <w:proofErr w:type="spellStart"/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grafici,debbano</w:t>
      </w:r>
      <w:proofErr w:type="spellEnd"/>
      <w:r w:rsidRPr="00A242DE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 essere redatti in numero e in relazione ai Criteri del successivo Art. 18 oppure ai sub-criteri.</w:t>
      </w:r>
    </w:p>
    <w:p w:rsidR="00A242DE" w:rsidRPr="00A242DE" w:rsidRDefault="00A242DE" w:rsidP="00A242DE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242DE">
        <w:rPr>
          <w:rFonts w:asciiTheme="majorHAnsi" w:hAnsiTheme="majorHAnsi"/>
        </w:rPr>
        <w:t>La relazione e gli elaborati debbono essere inerenti ai criteri, riportando però, per una più puntuale leggibilità, le soluzione relative a ciascuno degli elementi premianti. Per quanto concerne il numero di relazioni, va da se che vi è una relazione, che si articolerà verosimilmente in 7 punti, uno per ciascun criterio.</w:t>
      </w:r>
    </w:p>
    <w:p w:rsidR="00AB3A58" w:rsidRDefault="00C4427C" w:rsidP="00C4427C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S</w:t>
      </w:r>
      <w:r w:rsidRPr="00C4427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ulla lettera di invito a </w:t>
      </w:r>
      <w:proofErr w:type="spellStart"/>
      <w:r w:rsidRPr="00C4427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pg</w:t>
      </w:r>
      <w:proofErr w:type="spellEnd"/>
      <w:r w:rsidRPr="00C4427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. 8 nel paragrafo di riferimento sono contenute le seguenti indicazioni: Busta B-Offerta Tecnica con indicazione dell</w:t>
      </w:r>
      <w:r w:rsidR="00286E1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’</w:t>
      </w:r>
      <w:r w:rsidRPr="00C4427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 oggetto e la dicitura </w:t>
      </w:r>
      <w:r w:rsidR="00286E1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“</w:t>
      </w:r>
      <w:r w:rsidRPr="00C4427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contiene Documentazione Amministrativa</w:t>
      </w:r>
      <w:r w:rsidR="00286E1C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”</w:t>
      </w:r>
      <w:r w:rsidR="00AB3A58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.</w:t>
      </w:r>
    </w:p>
    <w:p w:rsidR="00A242DE" w:rsidRDefault="00AB3A58" w:rsidP="00AB3A58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B3A58">
        <w:rPr>
          <w:rFonts w:asciiTheme="majorHAnsi" w:hAnsiTheme="majorHAnsi"/>
        </w:rPr>
        <w:t>Trattasi di un mero errore materiale, ad ogni buon conto, si ritiene opportuno mantenere tale dicitura.</w:t>
      </w:r>
      <w:r w:rsidR="00C4427C" w:rsidRPr="00AB3A58">
        <w:rPr>
          <w:rFonts w:asciiTheme="majorHAnsi" w:hAnsiTheme="majorHAnsi"/>
        </w:rPr>
        <w:t></w:t>
      </w:r>
    </w:p>
    <w:p w:rsidR="00AB3A58" w:rsidRDefault="00AB3A58" w:rsidP="00AB3A58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AB3A58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Dove è possibile prendere visione dei quesiti e relativi chiarimenti relativi alla procedura?</w:t>
      </w:r>
    </w:p>
    <w:p w:rsidR="00AB3A58" w:rsidRDefault="00AB3A58" w:rsidP="00AB3A58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AB3A58">
        <w:rPr>
          <w:rFonts w:asciiTheme="majorHAnsi" w:hAnsiTheme="majorHAnsi"/>
        </w:rPr>
        <w:t xml:space="preserve">Rif. : voce Chiarimenti della seconda procedura dall'alto di cui alla pagina </w:t>
      </w:r>
      <w:hyperlink r:id="rId6" w:history="1">
        <w:r w:rsidR="006B32CD" w:rsidRPr="000E5CD2">
          <w:rPr>
            <w:rStyle w:val="Collegamentoipertestuale"/>
            <w:rFonts w:asciiTheme="majorHAnsi" w:hAnsiTheme="majorHAnsi"/>
          </w:rPr>
          <w:t>http://www.poliba.it/it/node/598/</w:t>
        </w:r>
      </w:hyperlink>
      <w:r w:rsidRPr="00AB3A58">
        <w:rPr>
          <w:rFonts w:asciiTheme="majorHAnsi" w:hAnsiTheme="majorHAnsi"/>
        </w:rPr>
        <w:t>.</w:t>
      </w:r>
    </w:p>
    <w:p w:rsidR="006B32CD" w:rsidRDefault="006B32CD" w:rsidP="00AB3A58">
      <w:pPr>
        <w:spacing w:before="100" w:beforeAutospacing="1" w:after="100" w:afterAutospacing="1"/>
        <w:jc w:val="both"/>
        <w:rPr>
          <w:rFonts w:asciiTheme="majorHAnsi" w:hAnsiTheme="majorHAnsi"/>
        </w:rPr>
      </w:pPr>
    </w:p>
    <w:p w:rsidR="006B32CD" w:rsidRPr="006B32CD" w:rsidRDefault="006B32CD" w:rsidP="006B32CD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6B32CD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lastRenderedPageBreak/>
        <w:t>Durante il sopralluogo effettuato avete indicato più zone attigue alla zona di</w:t>
      </w:r>
      <w:r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 </w:t>
      </w:r>
      <w:r w:rsidRPr="006B32CD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intervento per il deposito dei libri presenti nel piano interrato e al piano</w:t>
      </w:r>
      <w:r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 </w:t>
      </w:r>
      <w:r w:rsidRPr="006B32CD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terzo, dovendo progettare gli impianti atti alla tutela del patrimonio librario</w:t>
      </w:r>
      <w:r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 </w:t>
      </w:r>
      <w:r w:rsidRPr="006B32CD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del Politecnico, vogliate indicarci con precisione l'ubicazione di tali spazi.</w:t>
      </w:r>
    </w:p>
    <w:p w:rsidR="006B32CD" w:rsidRDefault="006B32CD" w:rsidP="006B32CD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  <w:r w:rsidRPr="006B32CD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Attendiamo con urgenza tale riscontro al fine di poter redigere l'offerta di</w:t>
      </w:r>
      <w:r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 xml:space="preserve"> </w:t>
      </w:r>
      <w:r w:rsidRPr="006B32CD">
        <w:rPr>
          <w:rFonts w:asciiTheme="majorHAnsi" w:hAnsiTheme="majorHAnsi" w:cs="Arial"/>
          <w:i/>
          <w:color w:val="00B0F0"/>
          <w:spacing w:val="-3"/>
          <w:sz w:val="22"/>
          <w:szCs w:val="22"/>
        </w:rPr>
        <w:t>miglioria.</w:t>
      </w:r>
    </w:p>
    <w:p w:rsidR="006B32CD" w:rsidRDefault="006B32CD" w:rsidP="006B32CD">
      <w:pPr>
        <w:pStyle w:val="Corpotesto"/>
        <w:tabs>
          <w:tab w:val="left" w:pos="8787"/>
        </w:tabs>
        <w:kinsoku w:val="0"/>
        <w:overflowPunct w:val="0"/>
        <w:spacing w:line="228" w:lineRule="exact"/>
        <w:ind w:right="-2"/>
        <w:rPr>
          <w:rFonts w:asciiTheme="majorHAnsi" w:hAnsiTheme="majorHAnsi" w:cs="Arial"/>
          <w:i/>
          <w:color w:val="00B0F0"/>
          <w:spacing w:val="-3"/>
          <w:sz w:val="22"/>
          <w:szCs w:val="22"/>
        </w:rPr>
      </w:pPr>
    </w:p>
    <w:p w:rsidR="006B32CD" w:rsidRDefault="006B32CD" w:rsidP="006B32C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6B32CD">
        <w:rPr>
          <w:rFonts w:asciiTheme="majorHAnsi" w:hAnsiTheme="majorHAnsi"/>
        </w:rPr>
        <w:t>Come già detto verbalmente in diverse occasioni, qualora l'operatore dovesse optare per una</w:t>
      </w:r>
      <w:r>
        <w:rPr>
          <w:rFonts w:asciiTheme="majorHAnsi" w:hAnsiTheme="majorHAnsi"/>
        </w:rPr>
        <w:t xml:space="preserve"> </w:t>
      </w:r>
      <w:r w:rsidRPr="006B32CD">
        <w:rPr>
          <w:rFonts w:asciiTheme="majorHAnsi" w:hAnsiTheme="majorHAnsi"/>
        </w:rPr>
        <w:t>soluzione che non prevede lo spostamento del patrimonio librario all'esterno</w:t>
      </w:r>
      <w:r>
        <w:rPr>
          <w:rFonts w:asciiTheme="majorHAnsi" w:hAnsiTheme="majorHAnsi"/>
        </w:rPr>
        <w:t xml:space="preserve"> </w:t>
      </w:r>
      <w:r w:rsidRPr="006B32CD">
        <w:rPr>
          <w:rFonts w:asciiTheme="majorHAnsi" w:hAnsiTheme="majorHAnsi"/>
        </w:rPr>
        <w:t>dell'Amministrazione, lo spazio più idoneo allo scopo è rappresentato</w:t>
      </w:r>
      <w:r>
        <w:rPr>
          <w:rFonts w:asciiTheme="majorHAnsi" w:hAnsiTheme="majorHAnsi"/>
        </w:rPr>
        <w:t xml:space="preserve"> </w:t>
      </w:r>
      <w:r w:rsidRPr="006B32CD">
        <w:rPr>
          <w:rFonts w:asciiTheme="majorHAnsi" w:hAnsiTheme="majorHAnsi"/>
        </w:rPr>
        <w:t>da una parte del locale</w:t>
      </w:r>
      <w:r>
        <w:rPr>
          <w:rFonts w:asciiTheme="majorHAnsi" w:hAnsiTheme="majorHAnsi"/>
        </w:rPr>
        <w:t xml:space="preserve"> </w:t>
      </w:r>
      <w:r w:rsidRPr="006B32CD">
        <w:rPr>
          <w:rFonts w:asciiTheme="majorHAnsi" w:hAnsiTheme="majorHAnsi"/>
        </w:rPr>
        <w:t>autorimessa del DICAR, che</w:t>
      </w:r>
      <w:r>
        <w:rPr>
          <w:rFonts w:asciiTheme="majorHAnsi" w:hAnsiTheme="majorHAnsi"/>
        </w:rPr>
        <w:t xml:space="preserve"> </w:t>
      </w:r>
      <w:r w:rsidRPr="006B32CD">
        <w:rPr>
          <w:rFonts w:asciiTheme="majorHAnsi" w:hAnsiTheme="majorHAnsi"/>
        </w:rPr>
        <w:t>dista pochi metri dall'ingresso a piano - 1 del corpo Biblioteca.</w:t>
      </w:r>
    </w:p>
    <w:p w:rsidR="00286E1C" w:rsidRDefault="00286E1C" w:rsidP="006B32CD">
      <w:pPr>
        <w:spacing w:before="100" w:beforeAutospacing="1" w:after="100" w:afterAutospacing="1"/>
        <w:jc w:val="both"/>
        <w:rPr>
          <w:rFonts w:asciiTheme="majorHAnsi" w:hAnsiTheme="majorHAnsi"/>
        </w:rPr>
      </w:pPr>
    </w:p>
    <w:p w:rsidR="00286E1C" w:rsidRDefault="00286E1C" w:rsidP="006B32CD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Precisazione a tutti i partecipanti:</w:t>
      </w:r>
    </w:p>
    <w:p w:rsidR="00286E1C" w:rsidRDefault="00286E1C" w:rsidP="006B32CD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Atteso che nelle dicitura da apporre sulle buste, si sono evidenziati i seguenti problemi:</w:t>
      </w:r>
    </w:p>
    <w:p w:rsidR="00286E1C" w:rsidRDefault="00286E1C" w:rsidP="00286E1C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data di scadenza delle offerte indicata erroneamente al 23/07/2018;</w:t>
      </w:r>
    </w:p>
    <w:p w:rsidR="00286E1C" w:rsidRDefault="00286E1C" w:rsidP="00286E1C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s</w:t>
      </w:r>
      <w:r w:rsidRPr="00286E1C">
        <w:rPr>
          <w:rFonts w:asciiTheme="majorHAnsi" w:hAnsiTheme="majorHAnsi"/>
          <w:color w:val="FF0000"/>
        </w:rPr>
        <w:t xml:space="preserve">ulla lettera di invito a </w:t>
      </w:r>
      <w:proofErr w:type="spellStart"/>
      <w:r w:rsidRPr="00286E1C">
        <w:rPr>
          <w:rFonts w:asciiTheme="majorHAnsi" w:hAnsiTheme="majorHAnsi"/>
          <w:color w:val="FF0000"/>
        </w:rPr>
        <w:t>pg</w:t>
      </w:r>
      <w:proofErr w:type="spellEnd"/>
      <w:r w:rsidRPr="00286E1C">
        <w:rPr>
          <w:rFonts w:asciiTheme="majorHAnsi" w:hAnsiTheme="majorHAnsi"/>
          <w:color w:val="FF0000"/>
        </w:rPr>
        <w:t>. 8 nel paragrafo di riferimento sono contenute le seguenti indicazioni: Busta B-Offerta Tecnica con indicazione dell’ oggetto e la dicitura “contiene Documentazione Amministrativa”</w:t>
      </w:r>
      <w:r>
        <w:rPr>
          <w:rFonts w:asciiTheme="majorHAnsi" w:hAnsiTheme="majorHAnsi"/>
          <w:color w:val="FF0000"/>
        </w:rPr>
        <w:t>;</w:t>
      </w:r>
    </w:p>
    <w:p w:rsidR="00286E1C" w:rsidRDefault="00286E1C" w:rsidP="00286E1C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poiché trattasi, evidentemente, di errori formali commessi dall’Amministrazione nella predisposizione degli atti di gara, vi si chiede di indicare sui documenti le diciture, se pur errate presenti nella lettera d’invito</w:t>
      </w:r>
      <w:r w:rsidR="006F47F6">
        <w:rPr>
          <w:rFonts w:asciiTheme="majorHAnsi" w:hAnsiTheme="majorHAnsi"/>
          <w:color w:val="FF0000"/>
        </w:rPr>
        <w:t>, o se vorrete le correzioni del caso</w:t>
      </w:r>
      <w:r>
        <w:rPr>
          <w:rFonts w:asciiTheme="majorHAnsi" w:hAnsiTheme="majorHAnsi"/>
          <w:color w:val="FF0000"/>
        </w:rPr>
        <w:t xml:space="preserve">. I componenti del seggio di gara e della commissione tecnica, </w:t>
      </w:r>
      <w:r w:rsidR="006F47F6">
        <w:rPr>
          <w:rFonts w:asciiTheme="majorHAnsi" w:hAnsiTheme="majorHAnsi"/>
          <w:color w:val="FF0000"/>
        </w:rPr>
        <w:t xml:space="preserve"> che saranno</w:t>
      </w:r>
      <w:r>
        <w:rPr>
          <w:rFonts w:asciiTheme="majorHAnsi" w:hAnsiTheme="majorHAnsi"/>
          <w:color w:val="FF0000"/>
        </w:rPr>
        <w:t xml:space="preserve"> nominati successivamente alla data del 24/07/2018, terranno conto di tale situazione, e per tali problematiche non si procederà alla esclusione dei concorrenti. Per la dat</w:t>
      </w:r>
      <w:r w:rsidR="006F47F6">
        <w:rPr>
          <w:rFonts w:asciiTheme="majorHAnsi" w:hAnsiTheme="majorHAnsi"/>
          <w:color w:val="FF0000"/>
        </w:rPr>
        <w:t>a s</w:t>
      </w:r>
      <w:bookmarkStart w:id="0" w:name="_GoBack"/>
      <w:bookmarkEnd w:id="0"/>
      <w:r>
        <w:rPr>
          <w:rFonts w:asciiTheme="majorHAnsi" w:hAnsiTheme="majorHAnsi"/>
          <w:color w:val="FF0000"/>
        </w:rPr>
        <w:t xml:space="preserve">i ribadisce che i termini di scadenza per la presentazione delle offerte è fissato alle </w:t>
      </w:r>
      <w:r w:rsidR="006F47F6">
        <w:rPr>
          <w:rFonts w:asciiTheme="majorHAnsi" w:hAnsiTheme="majorHAnsi"/>
          <w:color w:val="FF0000"/>
        </w:rPr>
        <w:t>ore 12.00 del 24/07/2018, ed a c</w:t>
      </w:r>
      <w:r>
        <w:rPr>
          <w:rFonts w:asciiTheme="majorHAnsi" w:hAnsiTheme="majorHAnsi"/>
          <w:color w:val="FF0000"/>
        </w:rPr>
        <w:t>iò fa</w:t>
      </w:r>
      <w:r w:rsidR="006F47F6">
        <w:rPr>
          <w:rFonts w:asciiTheme="majorHAnsi" w:hAnsiTheme="majorHAnsi"/>
          <w:color w:val="FF0000"/>
        </w:rPr>
        <w:t>rà</w:t>
      </w:r>
      <w:r>
        <w:rPr>
          <w:rFonts w:asciiTheme="majorHAnsi" w:hAnsiTheme="majorHAnsi"/>
          <w:color w:val="FF0000"/>
        </w:rPr>
        <w:t xml:space="preserve"> fede </w:t>
      </w:r>
      <w:r w:rsidR="006F47F6">
        <w:rPr>
          <w:rFonts w:asciiTheme="majorHAnsi" w:hAnsiTheme="majorHAnsi"/>
          <w:color w:val="FF0000"/>
        </w:rPr>
        <w:t>l’arrivo e la protocollazione dei documenti in ingresso.</w:t>
      </w:r>
    </w:p>
    <w:p w:rsidR="006F47F6" w:rsidRDefault="006F47F6" w:rsidP="00286E1C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f.to Il RUP</w:t>
      </w:r>
    </w:p>
    <w:p w:rsidR="006F47F6" w:rsidRDefault="006F47F6" w:rsidP="00286E1C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Ing. Leonardo Prencipe</w:t>
      </w:r>
    </w:p>
    <w:p w:rsidR="006F47F6" w:rsidRPr="00286E1C" w:rsidRDefault="006F47F6" w:rsidP="00286E1C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</w:p>
    <w:p w:rsidR="00286E1C" w:rsidRPr="00286E1C" w:rsidRDefault="00286E1C" w:rsidP="00286E1C">
      <w:pPr>
        <w:spacing w:before="100" w:beforeAutospacing="1" w:after="100" w:afterAutospacing="1"/>
        <w:jc w:val="both"/>
        <w:rPr>
          <w:rFonts w:asciiTheme="majorHAnsi" w:hAnsiTheme="majorHAnsi"/>
          <w:color w:val="FF0000"/>
        </w:rPr>
      </w:pPr>
    </w:p>
    <w:sectPr w:rsidR="00286E1C" w:rsidRPr="00286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32AB9"/>
    <w:multiLevelType w:val="hybridMultilevel"/>
    <w:tmpl w:val="5B868B1C"/>
    <w:lvl w:ilvl="0" w:tplc="4E0C9C0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33"/>
    <w:rsid w:val="00286E1C"/>
    <w:rsid w:val="00334D2E"/>
    <w:rsid w:val="006B32CD"/>
    <w:rsid w:val="006F47F6"/>
    <w:rsid w:val="00826E13"/>
    <w:rsid w:val="00A242DE"/>
    <w:rsid w:val="00AB3A58"/>
    <w:rsid w:val="00C4427C"/>
    <w:rsid w:val="00CB220F"/>
    <w:rsid w:val="00D16B72"/>
    <w:rsid w:val="00E538E5"/>
    <w:rsid w:val="00E81633"/>
    <w:rsid w:val="00EB5376"/>
    <w:rsid w:val="00EC61F3"/>
    <w:rsid w:val="00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242D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42DE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32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6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242D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42DE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32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ba.it/it/node/5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amm-p0269</dc:creator>
  <cp:lastModifiedBy>amm-p0269</cp:lastModifiedBy>
  <cp:revision>7</cp:revision>
  <dcterms:created xsi:type="dcterms:W3CDTF">2018-07-09T13:13:00Z</dcterms:created>
  <dcterms:modified xsi:type="dcterms:W3CDTF">2018-07-20T09:53:00Z</dcterms:modified>
</cp:coreProperties>
</file>